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NHS Blood Drive Event Summary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 Blood Drive is an annual event hosted by NHS. We are currently hosting through Memorial Blood Centers (MBC), though we have worked with the Red Cross in the past but haven’t had quite as good of an experience due to some student mistakes. The Blood Drive requires a good chunk of lead up work, but the actual event is pretty laid back as MBC does most of the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People required: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1 event lead -- In this case, it is better to have a single lead, as this person is in charge of organizing lead-up events and staying in contact with the blood center. Having several people can lead to conflicting ideas on what each person is in charge of.</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1 teacher lead -- Generally the NHS teacher advisor, just to make sure all the logistics are sound.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Several NHS student helpers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Timeline: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Early fall: Get in touch with the blood center and choose a date. In the past, we’ve done the drive in early spring, but it’s whenever the lead thinks they’ll have the time.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Two-three months before drive: Recontact blood center, check logistics (ie, make sure you have a room, all necessary requirements of the center, etc). MBC will make you their own posters, which you should then hang at school and local centers.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~Two months before drive: Begin calling (go through entire student directory, call parents and ask for donors; talk to students that are old enough, teachers, etc). If you get enough people (usually need 50), you can be done! If not, have more calling sessions. You’ll probably have a significant amount of people where you just left a message, so you’ll probably need a calling session to re-contact all those people. Continue calling until you get everyone/getting out into the public until you reach 50 people.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Day before drive: Do a final check on all the logistics, beginning prepping room.</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Day of drive: Prep room, blood center arrives, help them with whatever they need!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*Each of these “mini-events” has been considered NHS events in the past.</w:t>
      </w:r>
    </w:p>
    <w:p w:rsidR="00000000" w:rsidDel="00000000" w:rsidP="00000000" w:rsidRDefault="00000000" w:rsidRPr="00000000">
      <w:pPr>
        <w:contextualSpacing w:val="0"/>
      </w:pPr>
      <w:r w:rsidDel="00000000" w:rsidR="00000000" w:rsidRPr="00000000">
        <w:rPr>
          <w:rtl w:val="0"/>
        </w:rPr>
        <w:t xml:space="preserve">*For each mini-event, you’ll probably need 5-6 people (maybe a few less for the drive itself).</w:t>
      </w:r>
    </w:p>
    <w:p w:rsidR="00000000" w:rsidDel="00000000" w:rsidP="00000000" w:rsidRDefault="00000000" w:rsidRPr="00000000">
      <w:pPr>
        <w:contextualSpacing w:val="0"/>
      </w:pPr>
      <w:r w:rsidDel="00000000" w:rsidR="00000000" w:rsidRPr="00000000">
        <w:rPr>
          <w:rtl w:val="0"/>
        </w:rPr>
        <w:t xml:space="preserve">*Stay in touch throughout with the blood center.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Contacts:</w:t>
      </w:r>
    </w:p>
    <w:p w:rsidR="00000000" w:rsidDel="00000000" w:rsidP="00000000" w:rsidRDefault="00000000" w:rsidRPr="00000000">
      <w:pPr>
        <w:contextualSpacing w:val="0"/>
      </w:pPr>
      <w:r w:rsidDel="00000000" w:rsidR="00000000" w:rsidRPr="00000000">
        <w:rPr>
          <w:rtl w:val="0"/>
        </w:rPr>
        <w:t xml:space="preserve">*2013-2014 Event Lead: Ines Siepmann, </w:t>
      </w:r>
      <w:hyperlink r:id="rId5">
        <w:r w:rsidDel="00000000" w:rsidR="00000000" w:rsidRPr="00000000">
          <w:rPr>
            <w:color w:val="1155cc"/>
            <w:u w:val="single"/>
            <w:rtl w:val="0"/>
          </w:rPr>
          <w:t xml:space="preserve">inybeany@gmail.com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*2014-2015 Event lead: Courtney Hayashi, </w:t>
      </w:r>
      <w:hyperlink r:id="rId6">
        <w:r w:rsidDel="00000000" w:rsidR="00000000" w:rsidRPr="00000000">
          <w:rPr>
            <w:color w:val="1155cc"/>
            <w:u w:val="single"/>
            <w:rtl w:val="0"/>
          </w:rPr>
          <w:t xml:space="preserve">chayashi65@gmail.com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*2013-2015 MBC Contact: Blair Selk, </w:t>
      </w:r>
      <w:hyperlink r:id="rId7">
        <w:r w:rsidDel="00000000" w:rsidR="00000000" w:rsidRPr="00000000">
          <w:rPr>
            <w:color w:val="1155cc"/>
            <w:highlight w:val="white"/>
            <w:u w:val="single"/>
            <w:rtl w:val="0"/>
          </w:rPr>
          <w:t xml:space="preserve">bselk@mbc.org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inybeany@gmail.com" TargetMode="External"/><Relationship Id="rId6" Type="http://schemas.openxmlformats.org/officeDocument/2006/relationships/hyperlink" Target="mailto:chayashi65@gmail.com" TargetMode="External"/><Relationship Id="rId7" Type="http://schemas.openxmlformats.org/officeDocument/2006/relationships/hyperlink" Target="mailto:bselk@mbc.org" TargetMode="External"/></Relationships>
</file>